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65" w:rsidRDefault="001E0465" w:rsidP="004716C0">
      <w:pPr>
        <w:rPr>
          <w:rFonts w:ascii="新細明體" w:eastAsia="新細明體" w:hAnsi="新細明體"/>
          <w:lang w:eastAsia="zh-TW"/>
        </w:rPr>
      </w:pPr>
    </w:p>
    <w:p w:rsidR="001E0465" w:rsidRPr="00DF1C94" w:rsidRDefault="001E0465" w:rsidP="001E0465">
      <w:pPr>
        <w:jc w:val="center"/>
        <w:rPr>
          <w:rFonts w:ascii="新細明體" w:eastAsia="新細明體" w:hAnsi="新細明體"/>
          <w:sz w:val="44"/>
          <w:szCs w:val="44"/>
          <w:lang w:eastAsia="zh-TW"/>
        </w:rPr>
      </w:pPr>
      <w:r w:rsidRPr="00DF1C94">
        <w:rPr>
          <w:rFonts w:ascii="新細明體" w:eastAsia="新細明體" w:hAnsi="新細明體" w:hint="eastAsia"/>
          <w:sz w:val="44"/>
          <w:szCs w:val="44"/>
          <w:lang w:eastAsia="zh-TW"/>
        </w:rPr>
        <w:t>初三第一段教學要求</w:t>
      </w:r>
    </w:p>
    <w:tbl>
      <w:tblPr>
        <w:tblStyle w:val="a7"/>
        <w:tblW w:w="9586" w:type="dxa"/>
        <w:tblLook w:val="04A0" w:firstRow="1" w:lastRow="0" w:firstColumn="1" w:lastColumn="0" w:noHBand="0" w:noVBand="1"/>
      </w:tblPr>
      <w:tblGrid>
        <w:gridCol w:w="817"/>
        <w:gridCol w:w="2552"/>
        <w:gridCol w:w="6217"/>
      </w:tblGrid>
      <w:tr w:rsidR="00DF1C94" w:rsidTr="00B84978">
        <w:trPr>
          <w:trHeight w:val="330"/>
        </w:trPr>
        <w:tc>
          <w:tcPr>
            <w:tcW w:w="817" w:type="dxa"/>
          </w:tcPr>
          <w:p w:rsidR="00DF1C94" w:rsidRDefault="00DF1C94" w:rsidP="00B84978">
            <w:pPr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2552" w:type="dxa"/>
          </w:tcPr>
          <w:p w:rsidR="00DF1C94" w:rsidRDefault="00DF1C94" w:rsidP="001E0465">
            <w:pPr>
              <w:jc w:val="center"/>
              <w:rPr>
                <w:rFonts w:ascii="新細明體" w:eastAsia="新細明體" w:hAnsi="新細明體"/>
                <w:lang w:eastAsia="zh-TW"/>
              </w:rPr>
            </w:pPr>
            <w:r w:rsidRPr="00DF1C94">
              <w:rPr>
                <w:rFonts w:ascii="新細明體" w:eastAsia="新細明體" w:hAnsi="新細明體" w:hint="eastAsia"/>
                <w:lang w:eastAsia="zh-TW"/>
              </w:rPr>
              <w:t>課文</w:t>
            </w:r>
          </w:p>
        </w:tc>
        <w:tc>
          <w:tcPr>
            <w:tcW w:w="6217" w:type="dxa"/>
          </w:tcPr>
          <w:p w:rsidR="00DF1C94" w:rsidRDefault="00DF1C94" w:rsidP="00DF1C94">
            <w:pPr>
              <w:jc w:val="center"/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教學、複習內容</w:t>
            </w:r>
          </w:p>
        </w:tc>
      </w:tr>
      <w:tr w:rsidR="00DF1C94" w:rsidTr="00DF1C94">
        <w:trPr>
          <w:trHeight w:val="1930"/>
        </w:trPr>
        <w:tc>
          <w:tcPr>
            <w:tcW w:w="817" w:type="dxa"/>
            <w:vMerge w:val="restart"/>
          </w:tcPr>
          <w:p w:rsidR="00DF1C94" w:rsidRDefault="00DF1C94" w:rsidP="001E0465">
            <w:pPr>
              <w:jc w:val="center"/>
              <w:rPr>
                <w:rFonts w:ascii="新細明體" w:eastAsia="新細明體" w:hAnsi="新細明體"/>
                <w:lang w:eastAsia="zh-TW"/>
              </w:rPr>
            </w:pPr>
          </w:p>
          <w:p w:rsidR="00DF1C94" w:rsidRDefault="00DF1C94" w:rsidP="001E0465">
            <w:pPr>
              <w:jc w:val="center"/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測</w:t>
            </w:r>
          </w:p>
          <w:p w:rsidR="00DF1C94" w:rsidRDefault="00DF1C94" w:rsidP="001E0465">
            <w:pPr>
              <w:jc w:val="center"/>
              <w:rPr>
                <w:rFonts w:ascii="新細明體" w:eastAsia="新細明體" w:hAnsi="新細明體"/>
                <w:lang w:eastAsia="zh-TW"/>
              </w:rPr>
            </w:pPr>
            <w:proofErr w:type="gramStart"/>
            <w:r>
              <w:rPr>
                <w:rFonts w:ascii="新細明體" w:eastAsia="新細明體" w:hAnsi="新細明體" w:hint="eastAsia"/>
                <w:lang w:eastAsia="zh-TW"/>
              </w:rPr>
              <w:t>驗</w:t>
            </w:r>
            <w:proofErr w:type="gramEnd"/>
          </w:p>
          <w:p w:rsidR="00DF1C94" w:rsidRDefault="00DF1C94" w:rsidP="001E0465">
            <w:pPr>
              <w:jc w:val="center"/>
              <w:rPr>
                <w:rFonts w:ascii="新細明體" w:eastAsia="新細明體" w:hAnsi="新細明體"/>
                <w:lang w:eastAsia="zh-TW"/>
              </w:rPr>
            </w:pPr>
            <w:proofErr w:type="gramStart"/>
            <w:r>
              <w:rPr>
                <w:rFonts w:ascii="新細明體" w:eastAsia="新細明體" w:hAnsi="新細明體" w:hint="eastAsia"/>
                <w:lang w:eastAsia="zh-TW"/>
              </w:rPr>
              <w:t>一</w:t>
            </w:r>
            <w:proofErr w:type="gramEnd"/>
          </w:p>
        </w:tc>
        <w:tc>
          <w:tcPr>
            <w:tcW w:w="2552" w:type="dxa"/>
          </w:tcPr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《忘不了吃》</w:t>
            </w:r>
          </w:p>
        </w:tc>
        <w:tc>
          <w:tcPr>
            <w:tcW w:w="6217" w:type="dxa"/>
          </w:tcPr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1</w:t>
            </w:r>
            <w:r w:rsidRPr="00DF1C94">
              <w:rPr>
                <w:rFonts w:ascii="新細明體" w:eastAsia="新細明體" w:hAnsi="新細明體" w:hint="eastAsia"/>
                <w:lang w:eastAsia="zh-TW"/>
              </w:rPr>
              <w:t>莫言簡介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2記敍文的特點與運用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3課文內容</w:t>
            </w:r>
            <w:r>
              <w:rPr>
                <w:rFonts w:eastAsia="新細明體" w:hint="eastAsia"/>
                <w:lang w:eastAsia="zh-TW"/>
              </w:rPr>
              <w:t>：難點字詞與本文中心思想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  <w:p w:rsidR="00DF1C94" w:rsidRDefault="00DF1C94" w:rsidP="00DF1C94">
            <w:pPr>
              <w:rPr>
                <w:rFonts w:eastAsia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4</w:t>
            </w:r>
            <w:r>
              <w:rPr>
                <w:rFonts w:eastAsia="新細明體" w:hint="eastAsia"/>
                <w:lang w:eastAsia="zh-TW"/>
              </w:rPr>
              <w:t>修辭手法：比喻、誇張、反復</w:t>
            </w:r>
            <w:r>
              <w:rPr>
                <w:rFonts w:eastAsia="新細明體" w:hint="eastAsia"/>
                <w:lang w:eastAsia="zh-TW"/>
              </w:rPr>
              <w:t>(</w:t>
            </w:r>
            <w:r>
              <w:rPr>
                <w:rFonts w:eastAsia="新細明體" w:hint="eastAsia"/>
                <w:lang w:eastAsia="zh-TW"/>
              </w:rPr>
              <w:t>連續反復與間接反復</w:t>
            </w:r>
            <w:r>
              <w:rPr>
                <w:rFonts w:eastAsia="新細明體" w:hint="eastAsia"/>
                <w:lang w:eastAsia="zh-TW"/>
              </w:rPr>
              <w:t>)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 xml:space="preserve"> 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  <w:p w:rsidR="00DF1C94" w:rsidRDefault="007E6652" w:rsidP="00DF1C94">
            <w:pPr>
              <w:rPr>
                <w:rFonts w:eastAsia="新細明體"/>
                <w:lang w:eastAsia="zh-TW"/>
              </w:rPr>
            </w:pPr>
            <w:r w:rsidRPr="007E6652">
              <w:rPr>
                <w:rFonts w:ascii="新細明體" w:eastAsia="新細明體" w:hAnsi="新細明體" w:hint="eastAsia"/>
                <w:lang w:eastAsia="zh-TW"/>
              </w:rPr>
              <w:t>5</w:t>
            </w:r>
            <w:r w:rsidR="00DF1C94">
              <w:rPr>
                <w:rFonts w:eastAsia="新細明體" w:hint="eastAsia"/>
                <w:lang w:eastAsia="zh-TW"/>
              </w:rPr>
              <w:t>複句：承接複句</w:t>
            </w:r>
            <w:r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  <w:p w:rsidR="00DF1C94" w:rsidRPr="00DF1C94" w:rsidRDefault="007E6652" w:rsidP="00DF1C94">
            <w:pPr>
              <w:rPr>
                <w:rFonts w:eastAsia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6</w:t>
            </w:r>
            <w:r w:rsidR="00DF1C94" w:rsidRPr="00DF1C94">
              <w:rPr>
                <w:rFonts w:eastAsia="新細明體" w:hint="eastAsia"/>
                <w:lang w:eastAsia="zh-TW"/>
              </w:rPr>
              <w:t>延伸閱讀</w:t>
            </w:r>
            <w:r w:rsidR="00DF1C94">
              <w:rPr>
                <w:rFonts w:eastAsia="新細明體" w:hint="eastAsia"/>
                <w:lang w:eastAsia="zh-TW"/>
              </w:rPr>
              <w:t>：</w:t>
            </w:r>
            <w:r w:rsidR="00DF1C94" w:rsidRPr="00D80045">
              <w:rPr>
                <w:rFonts w:ascii="新細明體" w:eastAsia="新細明體" w:hAnsi="新細明體" w:hint="eastAsia"/>
                <w:lang w:eastAsia="zh-TW"/>
              </w:rPr>
              <w:t>《吃事三篇》</w:t>
            </w:r>
            <w:r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</w:tc>
      </w:tr>
      <w:tr w:rsidR="00DF1C94" w:rsidTr="00DF1C94">
        <w:trPr>
          <w:trHeight w:val="136"/>
        </w:trPr>
        <w:tc>
          <w:tcPr>
            <w:tcW w:w="817" w:type="dxa"/>
            <w:vMerge/>
          </w:tcPr>
          <w:p w:rsidR="00DF1C94" w:rsidRDefault="00DF1C94" w:rsidP="001E0465">
            <w:pPr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2552" w:type="dxa"/>
          </w:tcPr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《潮流望後鏡》</w:t>
            </w:r>
          </w:p>
          <w:p w:rsidR="00DF1C94" w:rsidRDefault="00DF1C94" w:rsidP="001E0465">
            <w:pPr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6217" w:type="dxa"/>
          </w:tcPr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1說明文的特點與運用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</w:tc>
      </w:tr>
      <w:tr w:rsidR="00DF1C94" w:rsidTr="00DF1C94">
        <w:trPr>
          <w:trHeight w:val="136"/>
        </w:trPr>
        <w:tc>
          <w:tcPr>
            <w:tcW w:w="817" w:type="dxa"/>
            <w:vMerge/>
          </w:tcPr>
          <w:p w:rsidR="00DF1C94" w:rsidRDefault="00DF1C94" w:rsidP="001E0465">
            <w:pPr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2552" w:type="dxa"/>
          </w:tcPr>
          <w:p w:rsidR="00DF1C94" w:rsidRP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 w:rsidRPr="00366831">
              <w:rPr>
                <w:rFonts w:ascii="新細明體" w:eastAsia="新細明體" w:hAnsi="新細明體" w:hint="eastAsia"/>
                <w:lang w:eastAsia="zh-TW"/>
              </w:rPr>
              <w:t>《爸爸的花兒落了》</w:t>
            </w:r>
          </w:p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6217" w:type="dxa"/>
          </w:tcPr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1林海音簡介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2小說分類與特點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3倒敍與散敍的寫作手法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4本課中心思想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 w:rsidRPr="00DF1C94">
              <w:rPr>
                <w:rFonts w:ascii="新細明體" w:eastAsia="新細明體" w:hAnsi="新細明體" w:hint="eastAsia"/>
                <w:lang w:eastAsia="zh-TW"/>
              </w:rPr>
              <w:t>5</w:t>
            </w:r>
            <w:r w:rsidRPr="00DF1C94">
              <w:rPr>
                <w:rFonts w:eastAsia="新細明體" w:hint="eastAsia"/>
                <w:lang w:eastAsia="zh-TW"/>
              </w:rPr>
              <w:t>延伸閱讀</w:t>
            </w:r>
            <w:r>
              <w:rPr>
                <w:rFonts w:eastAsia="新細明體" w:hint="eastAsia"/>
                <w:lang w:eastAsia="zh-TW"/>
              </w:rPr>
              <w:t>：</w:t>
            </w:r>
            <w:r w:rsidRPr="00D80045">
              <w:rPr>
                <w:rFonts w:ascii="新細明體" w:eastAsia="新細明體" w:hAnsi="新細明體" w:hint="eastAsia"/>
                <w:lang w:eastAsia="zh-TW"/>
              </w:rPr>
              <w:t>《城南舊事》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</w:tc>
      </w:tr>
      <w:tr w:rsidR="00DF1C94" w:rsidTr="00DF1C94">
        <w:trPr>
          <w:trHeight w:val="136"/>
        </w:trPr>
        <w:tc>
          <w:tcPr>
            <w:tcW w:w="817" w:type="dxa"/>
          </w:tcPr>
          <w:p w:rsidR="00DF1C94" w:rsidRDefault="00DF1C94" w:rsidP="001E0465">
            <w:pPr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2552" w:type="dxa"/>
          </w:tcPr>
          <w:p w:rsidR="00DF1C94" w:rsidRPr="00366831" w:rsidRDefault="00DF1C94" w:rsidP="00DF1C94">
            <w:pPr>
              <w:rPr>
                <w:rFonts w:eastAsia="新細明體"/>
                <w:b/>
                <w:u w:val="single"/>
                <w:lang w:eastAsia="zh-TW"/>
              </w:rPr>
            </w:pPr>
            <w:r w:rsidRPr="00DF1C94">
              <w:rPr>
                <w:rFonts w:ascii="新細明體" w:eastAsia="新細明體" w:hAnsi="新細明體" w:hint="eastAsia"/>
                <w:lang w:eastAsia="zh-TW"/>
              </w:rPr>
              <w:t>成語十五</w:t>
            </w:r>
            <w:proofErr w:type="gramStart"/>
            <w:r w:rsidRPr="00DF1C94">
              <w:rPr>
                <w:rFonts w:ascii="新細明體" w:eastAsia="新細明體" w:hAnsi="新細明體" w:hint="eastAsia"/>
                <w:lang w:eastAsia="zh-TW"/>
              </w:rPr>
              <w:t>個</w:t>
            </w:r>
            <w:proofErr w:type="gramEnd"/>
          </w:p>
          <w:p w:rsidR="00DF1C94" w:rsidRPr="00366831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6217" w:type="dxa"/>
          </w:tcPr>
          <w:p w:rsidR="00DF1C94" w:rsidRPr="007E6652" w:rsidRDefault="00DF1C94" w:rsidP="00DF1C94">
            <w:pPr>
              <w:rPr>
                <w:rFonts w:ascii="新細明體" w:eastAsia="新細明體" w:hAnsi="新細明體" w:cs="新細明體"/>
                <w:kern w:val="0"/>
                <w:lang w:eastAsia="zh-TW"/>
              </w:rPr>
            </w:pPr>
            <w:r w:rsidRPr="00604503">
              <w:rPr>
                <w:rFonts w:ascii="新細明體" w:hAnsi="新細明體" w:cs="新細明體" w:hint="eastAsia"/>
                <w:kern w:val="0"/>
                <w:lang w:eastAsia="zh-TW"/>
              </w:rPr>
              <w:t>一帆風順</w:t>
            </w:r>
            <w:r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Pr="00604503">
              <w:rPr>
                <w:rFonts w:ascii="新細明體" w:hAnsi="新細明體" w:cs="新細明體" w:hint="eastAsia"/>
                <w:kern w:val="0"/>
                <w:lang w:eastAsia="zh-TW"/>
              </w:rPr>
              <w:t>大相逕庭</w:t>
            </w:r>
            <w:r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Pr="00604503">
              <w:rPr>
                <w:rFonts w:ascii="新細明體" w:hAnsi="新細明體" w:cs="新細明體" w:hint="eastAsia"/>
                <w:kern w:val="0"/>
                <w:lang w:eastAsia="zh-TW"/>
              </w:rPr>
              <w:t>切磋琢磨</w:t>
            </w:r>
            <w:r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Pr="00604503">
              <w:rPr>
                <w:rFonts w:ascii="新細明體" w:hAnsi="新細明體" w:cs="新細明體" w:hint="eastAsia"/>
                <w:kern w:val="0"/>
                <w:lang w:eastAsia="zh-TW"/>
              </w:rPr>
              <w:t>分道揚鑣</w:t>
            </w:r>
            <w:r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Pr="00604503">
              <w:rPr>
                <w:rFonts w:ascii="新細明體" w:hAnsi="新細明體" w:cs="新細明體" w:hint="eastAsia"/>
                <w:kern w:val="0"/>
                <w:lang w:eastAsia="zh-TW"/>
              </w:rPr>
              <w:t>不分軒輊</w:t>
            </w:r>
            <w:r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Pr="00604503">
              <w:rPr>
                <w:rFonts w:ascii="新細明體" w:hAnsi="新細明體" w:cs="新細明體" w:hint="eastAsia"/>
                <w:kern w:val="0"/>
                <w:lang w:eastAsia="zh-TW"/>
              </w:rPr>
              <w:t>千鈞一髮</w:t>
            </w:r>
            <w:r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Pr="00604503">
              <w:rPr>
                <w:rFonts w:ascii="新細明體" w:hAnsi="新細明體" w:cs="新細明體" w:hint="eastAsia"/>
                <w:kern w:val="0"/>
                <w:lang w:eastAsia="zh-TW"/>
              </w:rPr>
              <w:t>兩袖清風</w:t>
            </w:r>
            <w:r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Pr="00604503">
              <w:rPr>
                <w:rFonts w:ascii="新細明體" w:hAnsi="新細明體" w:cs="新細明體" w:hint="eastAsia"/>
                <w:kern w:val="0"/>
                <w:lang w:eastAsia="zh-TW"/>
              </w:rPr>
              <w:t>坐以待斃</w:t>
            </w:r>
            <w:r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Pr="00604503">
              <w:rPr>
                <w:rFonts w:ascii="新細明體" w:hAnsi="新細明體" w:cs="新細明體" w:hint="eastAsia"/>
                <w:kern w:val="0"/>
                <w:lang w:eastAsia="zh-TW"/>
              </w:rPr>
              <w:t>仰不愧天</w:t>
            </w:r>
            <w:r>
              <w:rPr>
                <w:rFonts w:ascii="新細明體" w:eastAsia="新細明體" w:hAnsi="新細明體" w:hint="eastAsia"/>
                <w:lang w:eastAsia="zh-TW"/>
              </w:rPr>
              <w:t>、</w:t>
            </w:r>
            <w:r>
              <w:rPr>
                <w:rFonts w:ascii="新細明體" w:hAnsi="新細明體" w:cs="新細明體" w:hint="eastAsia"/>
                <w:kern w:val="0"/>
                <w:lang w:eastAsia="zh-TW"/>
              </w:rPr>
              <w:t>自甘墮</w:t>
            </w:r>
            <w:r>
              <w:rPr>
                <w:rFonts w:ascii="新細明體" w:eastAsia="新細明體" w:hAnsi="新細明體" w:cs="新細明體" w:hint="eastAsia"/>
                <w:kern w:val="0"/>
                <w:lang w:eastAsia="zh-TW"/>
              </w:rPr>
              <w:t>落</w:t>
            </w:r>
            <w:r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Pr="00604503">
              <w:rPr>
                <w:rFonts w:ascii="新細明體" w:hAnsi="新細明體" w:cs="新細明體" w:hint="eastAsia"/>
                <w:kern w:val="0"/>
                <w:lang w:eastAsia="zh-TW"/>
              </w:rPr>
              <w:t>正中下懷</w:t>
            </w:r>
            <w:r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Pr="00604503">
              <w:rPr>
                <w:rFonts w:ascii="新細明體" w:hAnsi="新細明體" w:cs="新細明體" w:hint="eastAsia"/>
                <w:kern w:val="0"/>
                <w:lang w:eastAsia="zh-TW"/>
              </w:rPr>
              <w:t>尾大不掉</w:t>
            </w:r>
            <w:r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Pr="00604503">
              <w:rPr>
                <w:rFonts w:ascii="新細明體" w:hAnsi="新細明體" w:cs="新細明體" w:hint="eastAsia"/>
                <w:kern w:val="0"/>
                <w:lang w:eastAsia="zh-TW"/>
              </w:rPr>
              <w:t>安邦定國</w:t>
            </w:r>
            <w:r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Pr="00604503">
              <w:rPr>
                <w:rFonts w:ascii="新細明體" w:hAnsi="新細明體" w:cs="新細明體" w:hint="eastAsia"/>
                <w:kern w:val="0"/>
                <w:lang w:eastAsia="zh-TW"/>
              </w:rPr>
              <w:t>出類拔萃</w:t>
            </w:r>
            <w:r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Pr="00604503">
              <w:rPr>
                <w:rFonts w:ascii="新細明體" w:hAnsi="新細明體" w:cs="新細明體" w:hint="eastAsia"/>
                <w:kern w:val="0"/>
                <w:lang w:eastAsia="zh-TW"/>
              </w:rPr>
              <w:t>助桀為虐</w:t>
            </w:r>
          </w:p>
        </w:tc>
      </w:tr>
      <w:tr w:rsidR="00DF1C94" w:rsidTr="00DF1C94">
        <w:trPr>
          <w:trHeight w:val="136"/>
        </w:trPr>
        <w:tc>
          <w:tcPr>
            <w:tcW w:w="817" w:type="dxa"/>
            <w:vMerge w:val="restart"/>
          </w:tcPr>
          <w:p w:rsidR="00DF1C94" w:rsidRDefault="00DF1C94" w:rsidP="00DF1C94">
            <w:pPr>
              <w:jc w:val="center"/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測</w:t>
            </w:r>
          </w:p>
          <w:p w:rsidR="00DF1C94" w:rsidRDefault="00DF1C94" w:rsidP="00DF1C94">
            <w:pPr>
              <w:jc w:val="center"/>
              <w:rPr>
                <w:rFonts w:ascii="新細明體" w:eastAsia="新細明體" w:hAnsi="新細明體"/>
                <w:lang w:eastAsia="zh-TW"/>
              </w:rPr>
            </w:pPr>
            <w:proofErr w:type="gramStart"/>
            <w:r>
              <w:rPr>
                <w:rFonts w:ascii="新細明體" w:eastAsia="新細明體" w:hAnsi="新細明體" w:hint="eastAsia"/>
                <w:lang w:eastAsia="zh-TW"/>
              </w:rPr>
              <w:t>驗</w:t>
            </w:r>
            <w:proofErr w:type="gramEnd"/>
          </w:p>
          <w:p w:rsidR="00DF1C94" w:rsidRDefault="00DF1C94" w:rsidP="00DF1C94">
            <w:pPr>
              <w:jc w:val="center"/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二</w:t>
            </w:r>
          </w:p>
        </w:tc>
        <w:tc>
          <w:tcPr>
            <w:tcW w:w="2552" w:type="dxa"/>
          </w:tcPr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《至小丘西小石潭記》</w:t>
            </w:r>
          </w:p>
          <w:p w:rsidR="00DF1C94" w:rsidRDefault="00DF1C94" w:rsidP="00DF1C94">
            <w:pPr>
              <w:rPr>
                <w:rFonts w:eastAsia="新細明體"/>
                <w:b/>
                <w:u w:val="single"/>
                <w:lang w:eastAsia="zh-TW"/>
              </w:rPr>
            </w:pPr>
          </w:p>
        </w:tc>
        <w:tc>
          <w:tcPr>
            <w:tcW w:w="6217" w:type="dxa"/>
          </w:tcPr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lang w:eastAsia="zh-TW"/>
              </w:rPr>
              <w:t>1</w:t>
            </w:r>
            <w:r>
              <w:rPr>
                <w:rFonts w:eastAsia="新細明體" w:hint="eastAsia"/>
                <w:lang w:eastAsia="zh-TW"/>
              </w:rPr>
              <w:t>柳宗元</w:t>
            </w:r>
            <w:r>
              <w:rPr>
                <w:rFonts w:ascii="新細明體" w:eastAsia="新細明體" w:hAnsi="新細明體" w:hint="eastAsia"/>
                <w:lang w:eastAsia="zh-TW"/>
              </w:rPr>
              <w:t>簡介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2借景抒情的寫作手法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  <w:p w:rsidR="00DF1C94" w:rsidRDefault="00DF1C94" w:rsidP="00DF1C94">
            <w:pPr>
              <w:rPr>
                <w:rFonts w:eastAsia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3課文內容</w:t>
            </w:r>
            <w:r>
              <w:rPr>
                <w:rFonts w:eastAsia="新細明體" w:hint="eastAsia"/>
                <w:lang w:eastAsia="zh-TW"/>
              </w:rPr>
              <w:t>：分析字詞注釋、</w:t>
            </w:r>
            <w:proofErr w:type="gramStart"/>
            <w:r>
              <w:rPr>
                <w:rFonts w:eastAsia="新細明體" w:hint="eastAsia"/>
                <w:lang w:eastAsia="zh-TW"/>
              </w:rPr>
              <w:t>句譯</w:t>
            </w:r>
            <w:proofErr w:type="gramEnd"/>
            <w:r>
              <w:rPr>
                <w:rFonts w:eastAsia="新細明體" w:hint="eastAsia"/>
                <w:lang w:eastAsia="zh-TW"/>
              </w:rPr>
              <w:t>、段落大意與主旨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  <w:p w:rsidR="00B84978" w:rsidRPr="007E6652" w:rsidRDefault="00B84978" w:rsidP="00DF1C94">
            <w:pPr>
              <w:rPr>
                <w:rFonts w:eastAsia="新細明體"/>
                <w:b/>
                <w:u w:val="single"/>
                <w:lang w:eastAsia="zh-TW"/>
              </w:rPr>
            </w:pPr>
            <w:r w:rsidRPr="00B84978">
              <w:rPr>
                <w:rFonts w:ascii="新細明體" w:eastAsia="新細明體" w:hAnsi="新細明體" w:hint="eastAsia"/>
                <w:lang w:eastAsia="zh-TW"/>
              </w:rPr>
              <w:t>4</w:t>
            </w:r>
            <w:r w:rsidR="007E6652" w:rsidRPr="00DF1C94">
              <w:rPr>
                <w:rFonts w:eastAsia="新細明體" w:hint="eastAsia"/>
                <w:lang w:eastAsia="zh-TW"/>
              </w:rPr>
              <w:t>延伸閱讀</w:t>
            </w:r>
            <w:r w:rsidR="007E6652">
              <w:rPr>
                <w:rFonts w:eastAsia="新細明體" w:hint="eastAsia"/>
                <w:lang w:eastAsia="zh-TW"/>
              </w:rPr>
              <w:t>：</w:t>
            </w:r>
            <w:r>
              <w:rPr>
                <w:rFonts w:ascii="新細明體" w:eastAsia="新細明體" w:hAnsi="新細明體" w:hint="eastAsia"/>
                <w:lang w:eastAsia="zh-TW"/>
              </w:rPr>
              <w:t>《柳河東集》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</w:tc>
      </w:tr>
      <w:tr w:rsidR="00DF1C94" w:rsidTr="00DF1C94">
        <w:trPr>
          <w:trHeight w:val="136"/>
        </w:trPr>
        <w:tc>
          <w:tcPr>
            <w:tcW w:w="817" w:type="dxa"/>
            <w:vMerge/>
          </w:tcPr>
          <w:p w:rsidR="00DF1C94" w:rsidRDefault="00DF1C94" w:rsidP="00DF1C94">
            <w:pPr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2552" w:type="dxa"/>
          </w:tcPr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 w:rsidRPr="0039512D">
              <w:rPr>
                <w:rFonts w:ascii="新細明體" w:eastAsia="新細明體" w:hAnsi="新細明體" w:hint="eastAsia"/>
                <w:lang w:eastAsia="zh-TW"/>
              </w:rPr>
              <w:t>《水調歌頭‧明月幾時有》</w:t>
            </w:r>
          </w:p>
        </w:tc>
        <w:tc>
          <w:tcPr>
            <w:tcW w:w="6217" w:type="dxa"/>
          </w:tcPr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lang w:eastAsia="zh-TW"/>
              </w:rPr>
              <w:t>1</w:t>
            </w:r>
            <w:r>
              <w:rPr>
                <w:rFonts w:eastAsia="新細明體" w:hint="eastAsia"/>
                <w:lang w:eastAsia="zh-TW"/>
              </w:rPr>
              <w:t>蘇軾</w:t>
            </w:r>
            <w:r>
              <w:rPr>
                <w:rFonts w:ascii="新細明體" w:eastAsia="新細明體" w:hAnsi="新細明體" w:hint="eastAsia"/>
                <w:lang w:eastAsia="zh-TW"/>
              </w:rPr>
              <w:t>簡介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2宋詞的體制特點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3借景抒情的寫作手法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  <w:p w:rsidR="00B84978" w:rsidRPr="007E6652" w:rsidRDefault="00B84978" w:rsidP="00DF1C94">
            <w:pPr>
              <w:rPr>
                <w:rFonts w:eastAsia="新細明體"/>
                <w:b/>
                <w:u w:val="single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4</w:t>
            </w:r>
            <w:r w:rsidR="007E6652" w:rsidRPr="00DF1C94">
              <w:rPr>
                <w:rFonts w:eastAsia="新細明體" w:hint="eastAsia"/>
                <w:lang w:eastAsia="zh-TW"/>
              </w:rPr>
              <w:t>延伸閱讀</w:t>
            </w:r>
            <w:r w:rsidR="007E6652">
              <w:rPr>
                <w:rFonts w:eastAsia="新細明體" w:hint="eastAsia"/>
                <w:lang w:eastAsia="zh-TW"/>
              </w:rPr>
              <w:t>：</w:t>
            </w:r>
            <w:r w:rsidRPr="00D80045">
              <w:rPr>
                <w:rFonts w:ascii="新細明體" w:eastAsia="新細明體" w:hAnsi="新細明體" w:hint="eastAsia"/>
                <w:lang w:eastAsia="zh-TW"/>
              </w:rPr>
              <w:t>《蘇東坡傳》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</w:tc>
      </w:tr>
      <w:tr w:rsidR="00DF1C94" w:rsidTr="00DF1C94">
        <w:trPr>
          <w:trHeight w:val="136"/>
        </w:trPr>
        <w:tc>
          <w:tcPr>
            <w:tcW w:w="817" w:type="dxa"/>
            <w:vMerge/>
          </w:tcPr>
          <w:p w:rsidR="00DF1C94" w:rsidRDefault="00DF1C94" w:rsidP="00DF1C94">
            <w:pPr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2552" w:type="dxa"/>
          </w:tcPr>
          <w:p w:rsidR="00DF1C94" w:rsidRPr="0039512D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 w:rsidRPr="0039512D">
              <w:rPr>
                <w:rFonts w:ascii="新細明體" w:eastAsia="新細明體" w:hAnsi="新細明體" w:hint="eastAsia"/>
                <w:lang w:eastAsia="zh-TW"/>
              </w:rPr>
              <w:t>《越調‧天淨沙‧秋思》</w:t>
            </w:r>
          </w:p>
        </w:tc>
        <w:tc>
          <w:tcPr>
            <w:tcW w:w="6217" w:type="dxa"/>
          </w:tcPr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lang w:eastAsia="zh-TW"/>
              </w:rPr>
              <w:t>1</w:t>
            </w:r>
            <w:proofErr w:type="gramStart"/>
            <w:r>
              <w:rPr>
                <w:rFonts w:eastAsia="新細明體" w:hint="eastAsia"/>
                <w:lang w:eastAsia="zh-TW"/>
              </w:rPr>
              <w:t>馬致遠</w:t>
            </w:r>
            <w:proofErr w:type="gramEnd"/>
            <w:r>
              <w:rPr>
                <w:rFonts w:ascii="新細明體" w:eastAsia="新細明體" w:hAnsi="新細明體" w:hint="eastAsia"/>
                <w:lang w:eastAsia="zh-TW"/>
              </w:rPr>
              <w:t>簡介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  <w:p w:rsid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2元曲的體制特點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  <w:p w:rsidR="00DF1C94" w:rsidRDefault="00DF1C94" w:rsidP="00DF1C94">
            <w:pPr>
              <w:rPr>
                <w:rFonts w:ascii="新細明體" w:eastAsia="新細明體" w:hAnsi="新細明體" w:cs="新細明體"/>
                <w:kern w:val="0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3借景抒情的寫作手法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</w:tc>
      </w:tr>
      <w:tr w:rsidR="00DF1C94" w:rsidTr="00DF1C94">
        <w:trPr>
          <w:trHeight w:val="136"/>
        </w:trPr>
        <w:tc>
          <w:tcPr>
            <w:tcW w:w="817" w:type="dxa"/>
          </w:tcPr>
          <w:p w:rsidR="00DF1C94" w:rsidRDefault="00DF1C94" w:rsidP="00DF1C94">
            <w:pPr>
              <w:jc w:val="center"/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2552" w:type="dxa"/>
          </w:tcPr>
          <w:p w:rsidR="00DF1C94" w:rsidRPr="00DF1C94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  <w:r w:rsidRPr="00DF1C94">
              <w:rPr>
                <w:rFonts w:ascii="新細明體" w:eastAsia="新細明體" w:hAnsi="新細明體" w:hint="eastAsia"/>
                <w:lang w:eastAsia="zh-TW"/>
              </w:rPr>
              <w:t>成語十五</w:t>
            </w:r>
            <w:proofErr w:type="gramStart"/>
            <w:r w:rsidRPr="00DF1C94">
              <w:rPr>
                <w:rFonts w:ascii="新細明體" w:eastAsia="新細明體" w:hAnsi="新細明體" w:hint="eastAsia"/>
                <w:lang w:eastAsia="zh-TW"/>
              </w:rPr>
              <w:t>個</w:t>
            </w:r>
            <w:proofErr w:type="gramEnd"/>
          </w:p>
          <w:p w:rsidR="00DF1C94" w:rsidRPr="0039512D" w:rsidRDefault="00DF1C94" w:rsidP="00DF1C94">
            <w:pPr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6217" w:type="dxa"/>
          </w:tcPr>
          <w:p w:rsidR="00DF1C94" w:rsidRPr="00D638E0" w:rsidRDefault="00DF1C94" w:rsidP="00A22503">
            <w:pPr>
              <w:rPr>
                <w:rFonts w:ascii="新細明體" w:eastAsia="新細明體" w:hAnsi="新細明體"/>
                <w:lang w:eastAsia="zh-TW"/>
              </w:rPr>
            </w:pPr>
            <w:r w:rsidRPr="00D638E0">
              <w:rPr>
                <w:rFonts w:ascii="新細明體" w:eastAsia="新細明體" w:hAnsi="新細明體" w:hint="eastAsia"/>
                <w:lang w:eastAsia="zh-TW"/>
              </w:rPr>
              <w:t>孤陋寡聞、固若金湯、並駕齊驅、沉魚落雁、故步自封、草木皆兵、冠冕堂皇、哀兵必勝、探囊取物、虛與委蛇、餘音裊裊、捕風捉影、風聲鶴唳、得心應手、九牛一毛</w:t>
            </w:r>
          </w:p>
          <w:p w:rsidR="00DF1C94" w:rsidRPr="001B5F62" w:rsidRDefault="00DF1C94" w:rsidP="00DF1C94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修辭手法：比喻、排比、對偶、擬人、反問</w:t>
            </w:r>
          </w:p>
          <w:p w:rsidR="00DF1C94" w:rsidRPr="00DF1C94" w:rsidRDefault="00DF1C94" w:rsidP="00A22503">
            <w:pPr>
              <w:rPr>
                <w:lang w:eastAsia="zh-TW"/>
              </w:rPr>
            </w:pPr>
          </w:p>
        </w:tc>
      </w:tr>
      <w:tr w:rsidR="00B84978" w:rsidTr="00A03B7E">
        <w:trPr>
          <w:trHeight w:val="136"/>
        </w:trPr>
        <w:tc>
          <w:tcPr>
            <w:tcW w:w="9586" w:type="dxa"/>
            <w:gridSpan w:val="3"/>
          </w:tcPr>
          <w:p w:rsidR="00B84978" w:rsidRPr="00D638E0" w:rsidRDefault="00B84978" w:rsidP="00B84978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考試：第一二次</w:t>
            </w:r>
            <w:proofErr w:type="gramStart"/>
            <w:r>
              <w:rPr>
                <w:rFonts w:ascii="新細明體" w:eastAsia="新細明體" w:hAnsi="新細明體" w:hint="eastAsia"/>
                <w:lang w:eastAsia="zh-TW"/>
              </w:rPr>
              <w:t>大測卷</w:t>
            </w:r>
            <w:proofErr w:type="gramEnd"/>
          </w:p>
        </w:tc>
      </w:tr>
      <w:tr w:rsidR="00B84978" w:rsidTr="00A03B7E">
        <w:trPr>
          <w:trHeight w:val="136"/>
        </w:trPr>
        <w:tc>
          <w:tcPr>
            <w:tcW w:w="9586" w:type="dxa"/>
            <w:gridSpan w:val="3"/>
          </w:tcPr>
          <w:p w:rsidR="00B84978" w:rsidRDefault="00B84978" w:rsidP="00B84978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基本題型：</w:t>
            </w:r>
          </w:p>
          <w:p w:rsidR="009276AE" w:rsidRPr="007E6652" w:rsidRDefault="00B84978" w:rsidP="007E6652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新細明體" w:eastAsia="新細明體" w:hAnsi="新細明體"/>
                <w:lang w:eastAsia="zh-TW"/>
              </w:rPr>
            </w:pPr>
            <w:r w:rsidRPr="007E6652">
              <w:rPr>
                <w:rFonts w:ascii="新細明體" w:eastAsia="新細明體" w:hAnsi="新細明體" w:hint="eastAsia"/>
                <w:lang w:eastAsia="zh-TW"/>
              </w:rPr>
              <w:t>基礎知識</w:t>
            </w:r>
            <w:r w:rsidR="009276AE" w:rsidRPr="007E6652">
              <w:rPr>
                <w:rFonts w:ascii="新細明體" w:eastAsia="新細明體" w:hAnsi="新細明體" w:hint="eastAsia"/>
                <w:lang w:eastAsia="zh-TW"/>
              </w:rPr>
              <w:t>：填充、選擇、</w:t>
            </w:r>
            <w:proofErr w:type="gramStart"/>
            <w:r w:rsidR="009276AE" w:rsidRPr="007E6652">
              <w:rPr>
                <w:rFonts w:ascii="新細明體" w:eastAsia="新細明體" w:hAnsi="新細明體" w:hint="eastAsia"/>
                <w:lang w:eastAsia="zh-TW"/>
              </w:rPr>
              <w:t>詞解</w:t>
            </w:r>
            <w:proofErr w:type="gramEnd"/>
            <w:r w:rsidR="009276AE" w:rsidRPr="007E6652">
              <w:rPr>
                <w:rFonts w:ascii="新細明體" w:eastAsia="新細明體" w:hAnsi="新細明體" w:hint="eastAsia"/>
                <w:lang w:eastAsia="zh-TW"/>
              </w:rPr>
              <w:t>、默寫、譯文、問答、成語、</w:t>
            </w:r>
            <w:proofErr w:type="gramStart"/>
            <w:r w:rsidR="007E6652" w:rsidRPr="007E6652">
              <w:rPr>
                <w:rFonts w:ascii="新細明體" w:eastAsia="新細明體" w:hAnsi="新細明體" w:hint="eastAsia"/>
                <w:lang w:eastAsia="zh-TW"/>
              </w:rPr>
              <w:t>帶框字</w:t>
            </w:r>
            <w:proofErr w:type="gramEnd"/>
            <w:r w:rsidR="007E6652" w:rsidRPr="007E6652">
              <w:rPr>
                <w:rFonts w:ascii="新細明體" w:eastAsia="新細明體" w:hAnsi="新細明體" w:hint="eastAsia"/>
                <w:lang w:eastAsia="zh-TW"/>
              </w:rPr>
              <w:t>解</w:t>
            </w:r>
            <w:r w:rsidR="007E6652" w:rsidRPr="007E6652"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="007E6652" w:rsidRPr="007E6652">
              <w:rPr>
                <w:rFonts w:ascii="新細明體" w:eastAsia="新細明體" w:hAnsi="新細明體" w:hint="eastAsia"/>
                <w:lang w:eastAsia="zh-TW"/>
              </w:rPr>
              <w:t>字音</w:t>
            </w:r>
            <w:r w:rsidR="007E6652" w:rsidRPr="007E6652"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="007E6652" w:rsidRPr="007E6652">
              <w:rPr>
                <w:rFonts w:ascii="新細明體" w:eastAsia="新細明體" w:hAnsi="新細明體" w:hint="eastAsia"/>
                <w:lang w:eastAsia="zh-TW"/>
              </w:rPr>
              <w:t>閱讀理解</w:t>
            </w:r>
          </w:p>
          <w:p w:rsidR="009276AE" w:rsidRDefault="009276AE" w:rsidP="009276A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新細明體" w:eastAsia="新細明體" w:hAnsi="新細明體" w:hint="eastAsia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語文運用</w:t>
            </w:r>
            <w:r w:rsidRPr="009276AE">
              <w:rPr>
                <w:rFonts w:ascii="新細明體" w:eastAsia="新細明體" w:hAnsi="新細明體" w:hint="eastAsia"/>
                <w:lang w:eastAsia="zh-TW"/>
              </w:rPr>
              <w:t>：</w:t>
            </w:r>
            <w:r>
              <w:rPr>
                <w:rFonts w:ascii="新細明體" w:eastAsia="新細明體" w:hAnsi="新細明體" w:hint="eastAsia"/>
                <w:lang w:eastAsia="zh-TW"/>
              </w:rPr>
              <w:t>現代漢語為主</w:t>
            </w:r>
            <w:r w:rsidR="007E6652"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  <w:p w:rsidR="007E6652" w:rsidRDefault="007E6652" w:rsidP="007E6652">
            <w:pPr>
              <w:pStyle w:val="a8"/>
              <w:ind w:left="360" w:firstLineChars="0" w:firstLine="0"/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 xml:space="preserve">         ( 複句</w:t>
            </w:r>
            <w:r w:rsidR="00732C73" w:rsidRPr="007E6652"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="00732C73">
              <w:rPr>
                <w:rFonts w:ascii="新細明體" w:eastAsia="新細明體" w:hAnsi="新細明體" w:hint="eastAsia"/>
                <w:lang w:eastAsia="zh-TW"/>
              </w:rPr>
              <w:t>修辭</w:t>
            </w:r>
            <w:r w:rsidR="00122C5B">
              <w:rPr>
                <w:rFonts w:ascii="新細明體" w:eastAsia="新細明體" w:hAnsi="新細明體" w:hint="eastAsia"/>
                <w:lang w:eastAsia="zh-TW"/>
              </w:rPr>
              <w:t>手法</w:t>
            </w:r>
            <w:r w:rsidR="00732C73" w:rsidRPr="007E6652">
              <w:rPr>
                <w:rFonts w:ascii="新細明體" w:eastAsia="新細明體" w:hAnsi="新細明體" w:hint="eastAsia"/>
                <w:lang w:eastAsia="zh-TW"/>
              </w:rPr>
              <w:t>、</w:t>
            </w:r>
            <w:r w:rsidR="00732C73">
              <w:rPr>
                <w:rFonts w:ascii="新細明體" w:eastAsia="新細明體" w:hAnsi="新細明體" w:hint="eastAsia"/>
                <w:lang w:eastAsia="zh-TW"/>
              </w:rPr>
              <w:t>寫作</w:t>
            </w:r>
            <w:r w:rsidR="00122C5B">
              <w:rPr>
                <w:rFonts w:ascii="新細明體" w:eastAsia="新細明體" w:hAnsi="新細明體" w:hint="eastAsia"/>
                <w:lang w:eastAsia="zh-TW"/>
              </w:rPr>
              <w:t>方法</w:t>
            </w:r>
            <w:r w:rsidR="000D393B">
              <w:rPr>
                <w:rFonts w:ascii="新細明體" w:eastAsia="新細明體" w:hAnsi="新細明體" w:hint="eastAsia"/>
                <w:lang w:eastAsia="zh-TW"/>
              </w:rPr>
              <w:t>等</w:t>
            </w:r>
            <w:bookmarkStart w:id="0" w:name="_GoBack"/>
            <w:bookmarkEnd w:id="0"/>
            <w:r w:rsidR="00122C5B">
              <w:rPr>
                <w:rFonts w:ascii="新細明體" w:eastAsia="新細明體" w:hAnsi="新細明體" w:hint="eastAsia"/>
                <w:lang w:eastAsia="zh-TW"/>
              </w:rPr>
              <w:t xml:space="preserve"> )</w:t>
            </w:r>
          </w:p>
          <w:p w:rsidR="00B84978" w:rsidRPr="009276AE" w:rsidRDefault="007E6652" w:rsidP="007E6652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3   閱讀理解或短文寫作</w:t>
            </w:r>
            <w:r>
              <w:rPr>
                <w:rFonts w:ascii="新細明體" w:eastAsia="新細明體" w:hAnsi="新細明體" w:hint="eastAsia"/>
                <w:lang w:eastAsia="zh-TW"/>
              </w:rPr>
              <w:t>。</w:t>
            </w:r>
          </w:p>
        </w:tc>
      </w:tr>
    </w:tbl>
    <w:p w:rsidR="00DF1C94" w:rsidRPr="00DF1C94" w:rsidRDefault="00DF1C94" w:rsidP="001E0465">
      <w:pPr>
        <w:jc w:val="center"/>
        <w:rPr>
          <w:rFonts w:ascii="新細明體" w:eastAsia="新細明體" w:hAnsi="新細明體"/>
          <w:lang w:eastAsia="zh-TW"/>
        </w:rPr>
      </w:pPr>
    </w:p>
    <w:p w:rsidR="000546D8" w:rsidRPr="006A7FAC" w:rsidRDefault="000546D8">
      <w:pPr>
        <w:rPr>
          <w:rFonts w:eastAsia="新細明體"/>
          <w:lang w:eastAsia="zh-TW"/>
        </w:rPr>
      </w:pPr>
    </w:p>
    <w:sectPr w:rsidR="000546D8" w:rsidRPr="006A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BA" w:rsidRDefault="003866BA" w:rsidP="003866BA">
      <w:r>
        <w:separator/>
      </w:r>
    </w:p>
  </w:endnote>
  <w:endnote w:type="continuationSeparator" w:id="0">
    <w:p w:rsidR="003866BA" w:rsidRDefault="003866BA" w:rsidP="0038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BA" w:rsidRDefault="003866BA" w:rsidP="003866BA">
      <w:r>
        <w:separator/>
      </w:r>
    </w:p>
  </w:footnote>
  <w:footnote w:type="continuationSeparator" w:id="0">
    <w:p w:rsidR="003866BA" w:rsidRDefault="003866BA" w:rsidP="0038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F2004"/>
    <w:multiLevelType w:val="hybridMultilevel"/>
    <w:tmpl w:val="7ACA1E14"/>
    <w:lvl w:ilvl="0" w:tplc="E0EAF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945F3E"/>
    <w:multiLevelType w:val="hybridMultilevel"/>
    <w:tmpl w:val="C7AA394C"/>
    <w:lvl w:ilvl="0" w:tplc="C128AE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E8023A"/>
    <w:multiLevelType w:val="hybridMultilevel"/>
    <w:tmpl w:val="D6F65E98"/>
    <w:lvl w:ilvl="0" w:tplc="AAEA6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BC2438"/>
    <w:multiLevelType w:val="hybridMultilevel"/>
    <w:tmpl w:val="8E26DC1A"/>
    <w:lvl w:ilvl="0" w:tplc="6C6CEF6E">
      <w:start w:val="1"/>
      <w:numFmt w:val="decimal"/>
      <w:lvlText w:val="%1"/>
      <w:lvlJc w:val="left"/>
      <w:pPr>
        <w:ind w:left="360" w:hanging="360"/>
      </w:pPr>
      <w:rPr>
        <w:rFonts w:ascii="新細明體" w:eastAsia="新細明體" w:hAnsi="新細明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C4"/>
    <w:rsid w:val="000546D8"/>
    <w:rsid w:val="00097B4E"/>
    <w:rsid w:val="000D393B"/>
    <w:rsid w:val="00122C5B"/>
    <w:rsid w:val="00125C66"/>
    <w:rsid w:val="00133A11"/>
    <w:rsid w:val="001B5F62"/>
    <w:rsid w:val="001E0465"/>
    <w:rsid w:val="00205694"/>
    <w:rsid w:val="00214142"/>
    <w:rsid w:val="00256AB6"/>
    <w:rsid w:val="00285764"/>
    <w:rsid w:val="002D49AA"/>
    <w:rsid w:val="00366831"/>
    <w:rsid w:val="003866BA"/>
    <w:rsid w:val="0039512D"/>
    <w:rsid w:val="003D62C9"/>
    <w:rsid w:val="00407A4E"/>
    <w:rsid w:val="004716C0"/>
    <w:rsid w:val="005067AE"/>
    <w:rsid w:val="005557AA"/>
    <w:rsid w:val="0058002D"/>
    <w:rsid w:val="005A19F9"/>
    <w:rsid w:val="005F1787"/>
    <w:rsid w:val="006A6793"/>
    <w:rsid w:val="006A7FAC"/>
    <w:rsid w:val="00732C73"/>
    <w:rsid w:val="007E4E6B"/>
    <w:rsid w:val="007E6652"/>
    <w:rsid w:val="008726A6"/>
    <w:rsid w:val="008F77B5"/>
    <w:rsid w:val="009276AE"/>
    <w:rsid w:val="0098422E"/>
    <w:rsid w:val="00A65C9C"/>
    <w:rsid w:val="00A66D75"/>
    <w:rsid w:val="00A91EA2"/>
    <w:rsid w:val="00AF4558"/>
    <w:rsid w:val="00B719C4"/>
    <w:rsid w:val="00B84978"/>
    <w:rsid w:val="00B9362F"/>
    <w:rsid w:val="00C577F2"/>
    <w:rsid w:val="00C93B04"/>
    <w:rsid w:val="00CE57F4"/>
    <w:rsid w:val="00CE7553"/>
    <w:rsid w:val="00D0668F"/>
    <w:rsid w:val="00D638E0"/>
    <w:rsid w:val="00D80045"/>
    <w:rsid w:val="00DB03E3"/>
    <w:rsid w:val="00DF1C94"/>
    <w:rsid w:val="00E7656D"/>
    <w:rsid w:val="00EC471E"/>
    <w:rsid w:val="00F2089B"/>
    <w:rsid w:val="00F42155"/>
    <w:rsid w:val="00F8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3866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6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3866BA"/>
    <w:rPr>
      <w:sz w:val="18"/>
      <w:szCs w:val="18"/>
    </w:rPr>
  </w:style>
  <w:style w:type="table" w:styleId="a7">
    <w:name w:val="Table Grid"/>
    <w:basedOn w:val="a1"/>
    <w:uiPriority w:val="59"/>
    <w:rsid w:val="00386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178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3866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6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3866BA"/>
    <w:rPr>
      <w:sz w:val="18"/>
      <w:szCs w:val="18"/>
    </w:rPr>
  </w:style>
  <w:style w:type="table" w:styleId="a7">
    <w:name w:val="Table Grid"/>
    <w:basedOn w:val="a1"/>
    <w:uiPriority w:val="59"/>
    <w:rsid w:val="00386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17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SeongFan</cp:lastModifiedBy>
  <cp:revision>32</cp:revision>
  <dcterms:created xsi:type="dcterms:W3CDTF">2017-06-29T12:21:00Z</dcterms:created>
  <dcterms:modified xsi:type="dcterms:W3CDTF">2017-07-04T10:03:00Z</dcterms:modified>
</cp:coreProperties>
</file>